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b/>
          <w:bCs/>
          <w:color w:val="555555"/>
          <w:sz w:val="18"/>
          <w:szCs w:val="18"/>
        </w:rPr>
        <w:t>What’s So Wrong with “To-Be” Verbs?</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1. The “to-be” verbs: </w:t>
      </w:r>
      <w:r w:rsidRPr="00931AE8">
        <w:rPr>
          <w:rFonts w:ascii="Verdana" w:eastAsia="Times New Roman" w:hAnsi="Verdana" w:cs="Times New Roman"/>
          <w:i/>
          <w:iCs/>
          <w:color w:val="555555"/>
          <w:sz w:val="18"/>
          <w:szCs w:val="18"/>
        </w:rPr>
        <w:t xml:space="preserve">is, am, are, was, were, be, being, </w:t>
      </w:r>
      <w:proofErr w:type="spellStart"/>
      <w:r w:rsidRPr="00931AE8">
        <w:rPr>
          <w:rFonts w:ascii="Verdana" w:eastAsia="Times New Roman" w:hAnsi="Verdana" w:cs="Times New Roman"/>
          <w:i/>
          <w:iCs/>
          <w:color w:val="555555"/>
          <w:sz w:val="18"/>
          <w:szCs w:val="18"/>
        </w:rPr>
        <w:t>been</w:t>
      </w:r>
      <w:proofErr w:type="spellEnd"/>
      <w:r w:rsidRPr="00931AE8">
        <w:rPr>
          <w:rFonts w:ascii="Verdana" w:eastAsia="Times New Roman" w:hAnsi="Verdana" w:cs="Times New Roman"/>
          <w:color w:val="555555"/>
          <w:sz w:val="18"/>
          <w:szCs w:val="18"/>
        </w:rPr>
        <w:t xml:space="preserve"> </w:t>
      </w:r>
      <w:proofErr w:type="spellStart"/>
      <w:r w:rsidRPr="00931AE8">
        <w:rPr>
          <w:rFonts w:ascii="Verdana" w:eastAsia="Times New Roman" w:hAnsi="Verdana" w:cs="Times New Roman"/>
          <w:color w:val="555555"/>
          <w:sz w:val="18"/>
          <w:szCs w:val="18"/>
        </w:rPr>
        <w:t>are</w:t>
      </w:r>
      <w:proofErr w:type="spellEnd"/>
      <w:r w:rsidRPr="00931AE8">
        <w:rPr>
          <w:rFonts w:ascii="Verdana" w:eastAsia="Times New Roman" w:hAnsi="Verdana" w:cs="Times New Roman"/>
          <w:color w:val="555555"/>
          <w:sz w:val="18"/>
          <w:szCs w:val="18"/>
        </w:rPr>
        <w:t xml:space="preserve"> state of being verbs, which means that they unduly claim a degree of permanence. For example, “I am hungry.” For most Americans, hunger is only a temporary condition.</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2. The “to-be” verbs claim absolute truth and exclude other views. “Classical music is very sophisticated.” Few would agree that </w:t>
      </w:r>
      <w:r w:rsidRPr="00931AE8">
        <w:rPr>
          <w:rFonts w:ascii="Verdana" w:eastAsia="Times New Roman" w:hAnsi="Verdana" w:cs="Times New Roman"/>
          <w:i/>
          <w:iCs/>
          <w:color w:val="555555"/>
          <w:sz w:val="18"/>
          <w:szCs w:val="18"/>
        </w:rPr>
        <w:t>all</w:t>
      </w:r>
      <w:r w:rsidRPr="00931AE8">
        <w:rPr>
          <w:rFonts w:ascii="Verdana" w:eastAsia="Times New Roman" w:hAnsi="Verdana" w:cs="Times New Roman"/>
          <w:color w:val="555555"/>
          <w:sz w:val="18"/>
          <w:szCs w:val="18"/>
        </w:rPr>
        <w:t xml:space="preserve"> classical compositions are </w:t>
      </w:r>
      <w:r w:rsidRPr="00931AE8">
        <w:rPr>
          <w:rFonts w:ascii="Verdana" w:eastAsia="Times New Roman" w:hAnsi="Verdana" w:cs="Times New Roman"/>
          <w:i/>
          <w:iCs/>
          <w:color w:val="555555"/>
          <w:sz w:val="18"/>
          <w:szCs w:val="18"/>
        </w:rPr>
        <w:t>always</w:t>
      </w:r>
      <w:r w:rsidRPr="00931AE8">
        <w:rPr>
          <w:rFonts w:ascii="Verdana" w:eastAsia="Times New Roman" w:hAnsi="Verdana" w:cs="Times New Roman"/>
          <w:color w:val="555555"/>
          <w:sz w:val="18"/>
          <w:szCs w:val="18"/>
        </w:rPr>
        <w:t xml:space="preserve"> sophisticated.</w:t>
      </w:r>
      <w:bookmarkStart w:id="0" w:name="_GoBack"/>
      <w:bookmarkEnd w:id="0"/>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3. The “to-be” verbs are general and lack specificity. A mother may tell her child, “Be good at school today.” The more specific “Don’t talk when the teacher talks today” would probably work better.</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4. The “to-be” verbs are vague. For example, “That school is great.” Clarify the sentence as “That school has wonderful teachers, terrific students, and supportive parents.”</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5. The “to-be” verbs often confuse the reader about the subject of the sentence. For example, “It was nice of you to visit.” Who or what is the “It?”</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Adapted from Ken Ward’s E-Prime article at </w:t>
      </w:r>
      <w:hyperlink r:id="rId5" w:history="1">
        <w:r w:rsidRPr="00931AE8">
          <w:rPr>
            <w:rFonts w:ascii="Verdana" w:eastAsia="Times New Roman" w:hAnsi="Verdana" w:cs="Times New Roman"/>
            <w:color w:val="2970A6"/>
            <w:sz w:val="18"/>
            <w:szCs w:val="18"/>
          </w:rPr>
          <w:t>http://www.trans4mind.com/personal_development/GeneralSemantics/KensEPrime.htm</w:t>
        </w:r>
      </w:hyperlink>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b/>
          <w:bCs/>
          <w:color w:val="555555"/>
          <w:sz w:val="18"/>
          <w:szCs w:val="18"/>
        </w:rPr>
        <w:t>Problem-Solving Strategies to Eliminate the</w:t>
      </w:r>
      <w:r w:rsidRPr="00931AE8">
        <w:rPr>
          <w:rFonts w:ascii="Verdana" w:eastAsia="Times New Roman" w:hAnsi="Verdana" w:cs="Times New Roman"/>
          <w:color w:val="555555"/>
          <w:sz w:val="18"/>
          <w:szCs w:val="18"/>
        </w:rPr>
        <w:t xml:space="preserve"> </w:t>
      </w:r>
      <w:r w:rsidRPr="00931AE8">
        <w:rPr>
          <w:rFonts w:ascii="Verdana" w:eastAsia="Times New Roman" w:hAnsi="Verdana" w:cs="Times New Roman"/>
          <w:b/>
          <w:bCs/>
          <w:color w:val="555555"/>
          <w:sz w:val="18"/>
          <w:szCs w:val="18"/>
        </w:rPr>
        <w:t>“To-Be” Verb</w:t>
      </w:r>
      <w:r w:rsidRPr="00931AE8">
        <w:rPr>
          <w:rFonts w:ascii="Verdana" w:eastAsia="Times New Roman" w:hAnsi="Verdana" w:cs="Times New Roman"/>
          <w:b/>
          <w:bCs/>
          <w:noProof/>
          <w:color w:val="2970A6"/>
          <w:sz w:val="18"/>
          <w:szCs w:val="18"/>
        </w:rPr>
        <w:drawing>
          <wp:inline distT="0" distB="0" distL="0" distR="0" wp14:anchorId="76874B8C" wp14:editId="3F6A1FE9">
            <wp:extent cx="2857500" cy="1666875"/>
            <wp:effectExtent l="0" t="0" r="0" b="9525"/>
            <wp:docPr id="1" name="Picture 1" descr="http://penningtonpublishing.com/blog/wp-content/uploads/2009/06/To-Be-Verbs-300x1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ingtonpublishing.com/blog/wp-content/uploads/2009/06/To-Be-Verbs-300x17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1. </w:t>
      </w:r>
      <w:r w:rsidRPr="00931AE8">
        <w:rPr>
          <w:rFonts w:ascii="Verdana" w:eastAsia="Times New Roman" w:hAnsi="Verdana" w:cs="Times New Roman"/>
          <w:b/>
          <w:bCs/>
          <w:color w:val="555555"/>
          <w:sz w:val="18"/>
          <w:szCs w:val="18"/>
        </w:rPr>
        <w:t>Substitute</w:t>
      </w:r>
      <w:r w:rsidRPr="00931AE8">
        <w:rPr>
          <w:rFonts w:ascii="Verdana" w:eastAsia="Times New Roman" w:hAnsi="Verdana" w:cs="Times New Roman"/>
          <w:color w:val="555555"/>
          <w:sz w:val="18"/>
          <w:szCs w:val="18"/>
        </w:rPr>
        <w:t>-Sometimes a good replacement just pops into your brain. For example, instead of “That cherry pie sure is good,” substitute the “to-be” verb is with tastes as in “That cherry pie sure tastes good.”</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2. </w:t>
      </w:r>
      <w:r w:rsidRPr="00931AE8">
        <w:rPr>
          <w:rFonts w:ascii="Verdana" w:eastAsia="Times New Roman" w:hAnsi="Verdana" w:cs="Times New Roman"/>
          <w:b/>
          <w:bCs/>
          <w:color w:val="555555"/>
          <w:sz w:val="18"/>
          <w:szCs w:val="18"/>
        </w:rPr>
        <w:t>Rearrange</w:t>
      </w:r>
      <w:r w:rsidRPr="00931AE8">
        <w:rPr>
          <w:rFonts w:ascii="Verdana" w:eastAsia="Times New Roman" w:hAnsi="Verdana" w:cs="Times New Roman"/>
          <w:color w:val="555555"/>
          <w:sz w:val="18"/>
          <w:szCs w:val="18"/>
        </w:rPr>
        <w:t>-Start the sentence differently to see if this helps eliminate a “to-be” verb. For example, instead of “The monster was in the dark tunnel creeping,” rearrange as “Down the dark tunnel crept the monster.”</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3. </w:t>
      </w:r>
      <w:r w:rsidRPr="00931AE8">
        <w:rPr>
          <w:rFonts w:ascii="Verdana" w:eastAsia="Times New Roman" w:hAnsi="Verdana" w:cs="Times New Roman"/>
          <w:b/>
          <w:bCs/>
          <w:color w:val="555555"/>
          <w:sz w:val="18"/>
          <w:szCs w:val="18"/>
        </w:rPr>
        <w:t>Change another word in the sentence into a verb</w:t>
      </w:r>
      <w:r w:rsidRPr="00931AE8">
        <w:rPr>
          <w:rFonts w:ascii="Verdana" w:eastAsia="Times New Roman" w:hAnsi="Verdana" w:cs="Times New Roman"/>
          <w:color w:val="555555"/>
          <w:sz w:val="18"/>
          <w:szCs w:val="18"/>
        </w:rPr>
        <w:t>-For example, instead of “Charles Schulz was the creator of the Peanuts cartoon strip,” change the common noun </w:t>
      </w:r>
      <w:r w:rsidRPr="00931AE8">
        <w:rPr>
          <w:rFonts w:ascii="Verdana" w:eastAsia="Times New Roman" w:hAnsi="Verdana" w:cs="Times New Roman"/>
          <w:i/>
          <w:iCs/>
          <w:color w:val="555555"/>
          <w:sz w:val="18"/>
          <w:szCs w:val="18"/>
        </w:rPr>
        <w:t>creator</w:t>
      </w:r>
      <w:r w:rsidRPr="00931AE8">
        <w:rPr>
          <w:rFonts w:ascii="Verdana" w:eastAsia="Times New Roman" w:hAnsi="Verdana" w:cs="Times New Roman"/>
          <w:color w:val="555555"/>
          <w:sz w:val="18"/>
          <w:szCs w:val="18"/>
        </w:rPr>
        <w:t xml:space="preserve"> to the verb </w:t>
      </w:r>
      <w:r w:rsidRPr="00931AE8">
        <w:rPr>
          <w:rFonts w:ascii="Verdana" w:eastAsia="Times New Roman" w:hAnsi="Verdana" w:cs="Times New Roman"/>
          <w:i/>
          <w:iCs/>
          <w:color w:val="555555"/>
          <w:sz w:val="18"/>
          <w:szCs w:val="18"/>
        </w:rPr>
        <w:t>created</w:t>
      </w:r>
      <w:r w:rsidRPr="00931AE8">
        <w:rPr>
          <w:rFonts w:ascii="Verdana" w:eastAsia="Times New Roman" w:hAnsi="Verdana" w:cs="Times New Roman"/>
          <w:color w:val="555555"/>
          <w:sz w:val="18"/>
          <w:szCs w:val="18"/>
        </w:rPr>
        <w:t xml:space="preserve"> as in “Charles Schulz created the Peanuts cartoon strip.”</w:t>
      </w:r>
    </w:p>
    <w:p w:rsidR="00931AE8" w:rsidRPr="00931AE8" w:rsidRDefault="00931AE8" w:rsidP="00931AE8">
      <w:pPr>
        <w:shd w:val="clear" w:color="auto" w:fill="FFFFFF"/>
        <w:spacing w:before="100" w:beforeAutospacing="1" w:after="150" w:line="348" w:lineRule="auto"/>
        <w:rPr>
          <w:rFonts w:ascii="Verdana" w:eastAsia="Times New Roman" w:hAnsi="Verdana" w:cs="Times New Roman"/>
          <w:color w:val="555555"/>
          <w:sz w:val="18"/>
          <w:szCs w:val="18"/>
        </w:rPr>
      </w:pPr>
      <w:r w:rsidRPr="00931AE8">
        <w:rPr>
          <w:rFonts w:ascii="Verdana" w:eastAsia="Times New Roman" w:hAnsi="Verdana" w:cs="Times New Roman"/>
          <w:color w:val="555555"/>
          <w:sz w:val="18"/>
          <w:szCs w:val="18"/>
        </w:rPr>
        <w:t xml:space="preserve">4. </w:t>
      </w:r>
      <w:r w:rsidRPr="00931AE8">
        <w:rPr>
          <w:rFonts w:ascii="Verdana" w:eastAsia="Times New Roman" w:hAnsi="Verdana" w:cs="Times New Roman"/>
          <w:b/>
          <w:bCs/>
          <w:color w:val="555555"/>
          <w:sz w:val="18"/>
          <w:szCs w:val="18"/>
        </w:rPr>
        <w:t>Combine sentences</w:t>
      </w:r>
      <w:r w:rsidRPr="00931AE8">
        <w:rPr>
          <w:rFonts w:ascii="Verdana" w:eastAsia="Times New Roman" w:hAnsi="Verdana" w:cs="Times New Roman"/>
          <w:color w:val="555555"/>
          <w:sz w:val="18"/>
          <w:szCs w:val="18"/>
        </w:rPr>
        <w:t>-Look at the sentences before and after the one with the “to-be” verb to see if one of them can combine with the “to-be” verb sentence and so eliminate the “to-be” verb. For example, instead of “The child was sad. The sensitive young person was feeling that way because of the news story about the death of the homeless man,” combine as “The news story about the death of the homeless man saddened the sensitive child.”</w:t>
      </w:r>
    </w:p>
    <w:p w:rsidR="00FC630F" w:rsidRDefault="00FC630F"/>
    <w:sectPr w:rsidR="00FC630F" w:rsidSect="00931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E8"/>
    <w:rsid w:val="003530E2"/>
    <w:rsid w:val="008A6A95"/>
    <w:rsid w:val="00931AE8"/>
    <w:rsid w:val="00F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9102">
      <w:bodyDiv w:val="1"/>
      <w:marLeft w:val="0"/>
      <w:marRight w:val="0"/>
      <w:marTop w:val="0"/>
      <w:marBottom w:val="0"/>
      <w:divBdr>
        <w:top w:val="none" w:sz="0" w:space="0" w:color="auto"/>
        <w:left w:val="none" w:sz="0" w:space="0" w:color="auto"/>
        <w:bottom w:val="none" w:sz="0" w:space="0" w:color="auto"/>
        <w:right w:val="none" w:sz="0" w:space="0" w:color="auto"/>
      </w:divBdr>
      <w:divsChild>
        <w:div w:id="1768384883">
          <w:marLeft w:val="0"/>
          <w:marRight w:val="0"/>
          <w:marTop w:val="0"/>
          <w:marBottom w:val="0"/>
          <w:divBdr>
            <w:top w:val="none" w:sz="0" w:space="0" w:color="auto"/>
            <w:left w:val="none" w:sz="0" w:space="0" w:color="auto"/>
            <w:bottom w:val="none" w:sz="0" w:space="0" w:color="auto"/>
            <w:right w:val="none" w:sz="0" w:space="0" w:color="auto"/>
          </w:divBdr>
          <w:divsChild>
            <w:div w:id="1385447658">
              <w:marLeft w:val="0"/>
              <w:marRight w:val="0"/>
              <w:marTop w:val="0"/>
              <w:marBottom w:val="0"/>
              <w:divBdr>
                <w:top w:val="none" w:sz="0" w:space="0" w:color="auto"/>
                <w:left w:val="none" w:sz="0" w:space="0" w:color="auto"/>
                <w:bottom w:val="none" w:sz="0" w:space="0" w:color="auto"/>
                <w:right w:val="none" w:sz="0" w:space="0" w:color="auto"/>
              </w:divBdr>
              <w:divsChild>
                <w:div w:id="1622031606">
                  <w:marLeft w:val="0"/>
                  <w:marRight w:val="0"/>
                  <w:marTop w:val="0"/>
                  <w:marBottom w:val="0"/>
                  <w:divBdr>
                    <w:top w:val="none" w:sz="0" w:space="0" w:color="auto"/>
                    <w:left w:val="none" w:sz="0" w:space="0" w:color="auto"/>
                    <w:bottom w:val="none" w:sz="0" w:space="0" w:color="auto"/>
                    <w:right w:val="none" w:sz="0" w:space="0" w:color="auto"/>
                  </w:divBdr>
                  <w:divsChild>
                    <w:div w:id="463474374">
                      <w:marLeft w:val="0"/>
                      <w:marRight w:val="0"/>
                      <w:marTop w:val="0"/>
                      <w:marBottom w:val="0"/>
                      <w:divBdr>
                        <w:top w:val="none" w:sz="0" w:space="0" w:color="auto"/>
                        <w:left w:val="none" w:sz="0" w:space="0" w:color="auto"/>
                        <w:bottom w:val="none" w:sz="0" w:space="0" w:color="auto"/>
                        <w:right w:val="none" w:sz="0" w:space="0" w:color="auto"/>
                      </w:divBdr>
                      <w:divsChild>
                        <w:div w:id="931664304">
                          <w:marLeft w:val="0"/>
                          <w:marRight w:val="0"/>
                          <w:marTop w:val="0"/>
                          <w:marBottom w:val="0"/>
                          <w:divBdr>
                            <w:top w:val="none" w:sz="0" w:space="0" w:color="auto"/>
                            <w:left w:val="none" w:sz="0" w:space="0" w:color="auto"/>
                            <w:bottom w:val="none" w:sz="0" w:space="0" w:color="auto"/>
                            <w:right w:val="none" w:sz="0" w:space="0" w:color="auto"/>
                          </w:divBdr>
                          <w:divsChild>
                            <w:div w:id="4281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nningtonpublishing.com/blog/wp-content/uploads/2009/06/To-Be-Verbs.jpg" TargetMode="External"/><Relationship Id="rId5" Type="http://schemas.openxmlformats.org/officeDocument/2006/relationships/hyperlink" Target="http://www.trans4mind.com/personal_development/GeneralSemantics/KensEPrim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2015-11-29T20:17:00Z</dcterms:created>
  <dcterms:modified xsi:type="dcterms:W3CDTF">2015-11-29T20:18:00Z</dcterms:modified>
</cp:coreProperties>
</file>